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2E0EE" w14:textId="77777777" w:rsidR="001F2F89" w:rsidRDefault="001F2F89" w:rsidP="00110369">
      <w:pPr>
        <w:rPr>
          <w:b/>
          <w:bCs/>
        </w:rPr>
      </w:pPr>
    </w:p>
    <w:p w14:paraId="55435BD8" w14:textId="77777777" w:rsidR="001F2F89" w:rsidRPr="001F2F89" w:rsidRDefault="001F2F89" w:rsidP="001F2F89">
      <w:pPr>
        <w:rPr>
          <w:b/>
          <w:bCs/>
        </w:rPr>
      </w:pPr>
      <w:r w:rsidRPr="001F2F89">
        <w:rPr>
          <w:b/>
          <w:bCs/>
        </w:rPr>
        <w:t>Nuove competenze e nuovi linguaggi Azioni di potenziamento delle competenze STEM e multilinguistiche (D.M. 65/2023)</w:t>
      </w:r>
    </w:p>
    <w:p w14:paraId="78C6C50A" w14:textId="77777777" w:rsidR="001F2F89" w:rsidRDefault="001F2F89" w:rsidP="00110369">
      <w:pPr>
        <w:rPr>
          <w:b/>
          <w:bCs/>
        </w:rPr>
      </w:pPr>
    </w:p>
    <w:p w14:paraId="05C7EF9F" w14:textId="1C1BFD07" w:rsidR="00E37066" w:rsidRDefault="00110369" w:rsidP="00110369">
      <w:pPr>
        <w:rPr>
          <w:b/>
          <w:bCs/>
        </w:rPr>
      </w:pPr>
      <w:r w:rsidRPr="00110369">
        <w:rPr>
          <w:b/>
          <w:bCs/>
        </w:rPr>
        <w:t>AZIONI PER LO SVILUPPO DELLE COMPETENZE STEM</w:t>
      </w:r>
      <w:r w:rsidR="00B05246">
        <w:rPr>
          <w:b/>
          <w:bCs/>
        </w:rPr>
        <w:t xml:space="preserve"> e MULTILINGUISMO</w:t>
      </w:r>
    </w:p>
    <w:p w14:paraId="201F2D81" w14:textId="77777777" w:rsidR="00B05246" w:rsidRDefault="00B05246" w:rsidP="00110369">
      <w:pPr>
        <w:rPr>
          <w:b/>
          <w:bCs/>
        </w:rPr>
      </w:pPr>
    </w:p>
    <w:p w14:paraId="6A2CA65A" w14:textId="76464EEA" w:rsidR="00B05246" w:rsidRPr="001F2F89" w:rsidRDefault="00B05246" w:rsidP="00110369">
      <w:pPr>
        <w:rPr>
          <w:b/>
          <w:bCs/>
          <w:i/>
          <w:iCs/>
          <w:u w:val="single"/>
        </w:rPr>
      </w:pPr>
      <w:r w:rsidRPr="001F2F89">
        <w:rPr>
          <w:b/>
          <w:bCs/>
          <w:i/>
          <w:iCs/>
          <w:u w:val="single"/>
        </w:rPr>
        <w:t>STEM WITH THEM</w:t>
      </w:r>
    </w:p>
    <w:p w14:paraId="62406759" w14:textId="77777777" w:rsidR="00110369" w:rsidRDefault="00110369" w:rsidP="00110369">
      <w:pPr>
        <w:jc w:val="left"/>
      </w:pPr>
    </w:p>
    <w:p w14:paraId="5BC9B133" w14:textId="77777777" w:rsidR="00110369" w:rsidRDefault="00110369" w:rsidP="00110369">
      <w:pPr>
        <w:jc w:val="left"/>
      </w:pPr>
    </w:p>
    <w:p w14:paraId="09FB6362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Il progetto ha le seguenti finalità:</w:t>
      </w:r>
    </w:p>
    <w:p w14:paraId="0C205C07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rafforzare lo studio delle materie STEM</w:t>
      </w:r>
    </w:p>
    <w:p w14:paraId="50773F93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garantire pari opportunità e uguaglianza di genere</w:t>
      </w:r>
    </w:p>
    <w:p w14:paraId="09CECBBD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incrementare le conoscenze multi-linguistiche</w:t>
      </w:r>
    </w:p>
    <w:p w14:paraId="5D6AC343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Ogni percorso si compone di diversi moduli articolati in azioni curricolari ed extracurricolari.</w:t>
      </w:r>
    </w:p>
    <w:p w14:paraId="63D1C49E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Il progetto tiene conto delle diverse potenzialità, capacità, talenti e delle diverse modalità di apprendimento degli studenti in una prospettiva inclusiva.</w:t>
      </w:r>
    </w:p>
    <w:p w14:paraId="0170D518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</w:p>
    <w:p w14:paraId="60AB9837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 xml:space="preserve">1) Il progetto intende valorizzare l’importanza delle STEM attraverso un approccio non trasmissivo, ma laboratoriale e cooperativo, in un ambiente di apprendimento flessibile, finalizzato al raggiungimento di competenze trasversali, quali la creatività, la collaborazione, il pensiero critico e la comunicazione e portare così gli studenti ad affrontare le sfide dell’odierna società complessa. </w:t>
      </w:r>
    </w:p>
    <w:p w14:paraId="31FB4D0D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 xml:space="preserve">La tecnologia riveste un ruolo fondamentale per l’apprendimento delle discipline STEM, evitando che venga “subita”, ma acquisita con senso critico grazie all’esercizio dell’uso della logica deduttiva e induttiva, di cui la matematica è il cardine dell’  equilibrio tra astrazione ed applicazione. </w:t>
      </w:r>
    </w:p>
    <w:p w14:paraId="10C7AD37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Nel percorso educativo, l’inclusione delle competenze connesse al coding, al pensiero computazionale e all’informatica, può preparare gli studenti alle sfide e alle opportunità offerte dal mercato del lavoro digitale.</w:t>
      </w:r>
    </w:p>
    <w:p w14:paraId="574CC104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 xml:space="preserve">L’importanza di un corretto e consapevole utilizzo dell’intelligenza artificiale (IA), può migliorare l’efficacia dell’insegnamento e dell’apprendimento consentendo agli studenti di accedere a varie opportunità formative, quali la personalizzazione dell’apprendimento e l’ampliamento dell’accesso all’istruzione, soprattutto in contesti in cui le risorse sono limitate. </w:t>
      </w:r>
    </w:p>
    <w:p w14:paraId="36958C79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 xml:space="preserve">L’uso dell’IA in ambito scolastico, affrontando al contempo i rischi relativi,  può altresì favorire negli studenti lo sviluppo di competenze tecniche rilevanti per il mercato del lavoro digitale, preparandoli per le sfide future e le opportunità di carriera legate alla tecnologia. </w:t>
      </w:r>
    </w:p>
    <w:p w14:paraId="223AC584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</w:p>
    <w:p w14:paraId="43B81E56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L’ approccio prevede l’uso di un umanoide, il cui utilizzo comporta un percorso di formazione di docenti interni, per poi disseminare tra gli studenti dei Servizi per la Sanità e l’Assistenza Sociale (SSAS) una nuova terapia sperimentale per il trattamento dell’autismo e in generale dei disturbi del comportamento.</w:t>
      </w:r>
    </w:p>
    <w:p w14:paraId="0970AABA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</w:p>
    <w:p w14:paraId="4252611C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lastRenderedPageBreak/>
        <w:t>Il contesto di riferimento sono le professioni emergenti: biomedicina, robotica, sicurezza informatica, intelligenza artificiale, data science, ecc. e nell’immediato i relativi percorsi formativi post diploma.</w:t>
      </w:r>
    </w:p>
    <w:p w14:paraId="6D644A35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Verranno privilegiati incontri con ITS Academy e facoltà universitarie, attraverso incontri aperti a studenti e famiglie.</w:t>
      </w:r>
    </w:p>
    <w:p w14:paraId="3B7FC7B1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2) L’approccio alle  discipline STEM  deve permettere di superare l’idea che siano “per pochi” ovvero superare il divario di genere, attraverso strategie didattiche “persuasive”  favorire così tra le studentesse lo studio e la passione per le STEM.</w:t>
      </w:r>
    </w:p>
    <w:p w14:paraId="301CB5A2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Sono privilegiati i moduli formativi di tipo laboratoriale su compiti reali e attività di orientamento sulle STEM al fine di promuovere azioni di informazione, sensibilizzazione e formazione rivolte anche alle famiglie, per incoraggiare la partecipazione ai percorsi di studio nelle discipline STEM, principalmente delle alunne e delle studentesse, superando gli stereotipi di genere.</w:t>
      </w:r>
    </w:p>
    <w:p w14:paraId="5870C3A5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Si promuoveranno moduli propedeutici al superamento dei test di ammissione alle facoltà scientifiche.</w:t>
      </w:r>
    </w:p>
    <w:p w14:paraId="790E68D4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Saranno privilegiati percorsi di peer to peer , l’uso dei laboratori e di competenze professionali.</w:t>
      </w:r>
    </w:p>
    <w:p w14:paraId="38D88FB1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Gli studenti del ramo industriale faranno da mentor alle, per lo più, studentesse dell’indirizzo SSAS nel laboratorio di CAD per la progettazione e la realizzazione di oggetti come piccole piccole ortesi.</w:t>
      </w:r>
    </w:p>
    <w:p w14:paraId="670D4ABF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</w:p>
    <w:p w14:paraId="03F96C3D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 xml:space="preserve"> 3) Il multilinguismo promuove l’inclusività e abbatte le barriere, consentendo una competenza comunicativa più efficace tra contesti linguistici diversi. Si possono colmare divari e promuovere la comprensione globale. In un mondo sempre più globalizzato il multilinguismo è una necessità, in quanto fornisce maggiori opportunità di carriera e ha un impatto positivo sulle funzioni cognitive.</w:t>
      </w:r>
    </w:p>
    <w:p w14:paraId="12BA1463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Nell’economia di oggi, le imprese sono sempre più alla ricerca di dipendenti in grado di comunicare efficacemente in più lingue. Il multilinguismo migliora, inoltre, le abilità di problem solving.</w:t>
      </w:r>
    </w:p>
    <w:p w14:paraId="07ACE499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Imparare una nuova lingua significa sviluppare l’elasticità cognitiva e aprire gli orizzonti culturali. L’apprendimento di una nuova lingua apre una finestra su uno stile di vita diverso, su culture, storie e tradizioni diverse.</w:t>
      </w:r>
    </w:p>
    <w:p w14:paraId="0ECA71C4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L’incremento della conoscenza delle diverse lingue in modo appropriato ed efficace, oltre allo scopo di saper comunicare allargando orizzonti e apprezzando le  differenti culture, favorisce l’inserimento nel mondo del lavoro e in ambito universitario.</w:t>
      </w:r>
    </w:p>
    <w:p w14:paraId="077B17D1" w14:textId="77777777" w:rsidR="00B05246" w:rsidRPr="00B05246" w:rsidRDefault="00B05246" w:rsidP="00B05246">
      <w:pPr>
        <w:suppressAutoHyphens w:val="0"/>
        <w:spacing w:after="165"/>
        <w:jc w:val="left"/>
        <w:rPr>
          <w:rFonts w:ascii="titilliumweb-r" w:hAnsi="titilliumweb-r"/>
          <w:color w:val="000000"/>
          <w:lang w:eastAsia="it-IT"/>
        </w:rPr>
      </w:pPr>
      <w:r w:rsidRPr="00B05246">
        <w:rPr>
          <w:rFonts w:ascii="titilliumweb-r" w:hAnsi="titilliumweb-r"/>
          <w:color w:val="000000"/>
          <w:lang w:eastAsia="it-IT"/>
        </w:rPr>
        <w:t>I percorsi formativi saranno indirizzati verso il conseguimento di una certificazione linguistica.</w:t>
      </w:r>
    </w:p>
    <w:p w14:paraId="6AF9766B" w14:textId="77777777" w:rsidR="00110369" w:rsidRPr="00B05246" w:rsidRDefault="00110369" w:rsidP="00B05246">
      <w:pPr>
        <w:suppressAutoHyphens w:val="0"/>
        <w:spacing w:after="165"/>
        <w:jc w:val="left"/>
      </w:pPr>
    </w:p>
    <w:sectPr w:rsidR="00110369" w:rsidRPr="00B052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web-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4C238ED"/>
    <w:multiLevelType w:val="multilevel"/>
    <w:tmpl w:val="23E42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792001">
    <w:abstractNumId w:val="0"/>
  </w:num>
  <w:num w:numId="2" w16cid:durableId="1264147467">
    <w:abstractNumId w:val="0"/>
  </w:num>
  <w:num w:numId="3" w16cid:durableId="1449079910">
    <w:abstractNumId w:val="0"/>
  </w:num>
  <w:num w:numId="4" w16cid:durableId="1882858604">
    <w:abstractNumId w:val="0"/>
  </w:num>
  <w:num w:numId="5" w16cid:durableId="62920649">
    <w:abstractNumId w:val="0"/>
  </w:num>
  <w:num w:numId="6" w16cid:durableId="773523820">
    <w:abstractNumId w:val="0"/>
  </w:num>
  <w:num w:numId="7" w16cid:durableId="870337991">
    <w:abstractNumId w:val="0"/>
  </w:num>
  <w:num w:numId="8" w16cid:durableId="231819367">
    <w:abstractNumId w:val="0"/>
  </w:num>
  <w:num w:numId="9" w16cid:durableId="1253003657">
    <w:abstractNumId w:val="0"/>
  </w:num>
  <w:num w:numId="10" w16cid:durableId="184759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69"/>
    <w:rsid w:val="00110369"/>
    <w:rsid w:val="001F2F89"/>
    <w:rsid w:val="002440D1"/>
    <w:rsid w:val="009E6D28"/>
    <w:rsid w:val="00B05246"/>
    <w:rsid w:val="00DB29CE"/>
    <w:rsid w:val="00E3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0265"/>
  <w15:chartTrackingRefBased/>
  <w15:docId w15:val="{7F7C2E33-E48E-4D4C-A1F9-785809FB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40D1"/>
    <w:pPr>
      <w:suppressAutoHyphens/>
      <w:jc w:val="center"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440D1"/>
    <w:pPr>
      <w:keepNext/>
      <w:tabs>
        <w:tab w:val="num" w:pos="0"/>
      </w:tabs>
      <w:ind w:left="432" w:hanging="432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link w:val="Titolo2Carattere"/>
    <w:qFormat/>
    <w:rsid w:val="002440D1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rsid w:val="002440D1"/>
    <w:pPr>
      <w:keepNext/>
      <w:outlineLvl w:val="2"/>
    </w:pPr>
    <w:rPr>
      <w:b/>
      <w:bCs/>
      <w:sz w:val="20"/>
    </w:rPr>
  </w:style>
  <w:style w:type="paragraph" w:styleId="Titolo4">
    <w:name w:val="heading 4"/>
    <w:basedOn w:val="Normale"/>
    <w:next w:val="Normale"/>
    <w:link w:val="Titolo4Carattere"/>
    <w:qFormat/>
    <w:rsid w:val="002440D1"/>
    <w:pPr>
      <w:keepNext/>
      <w:outlineLvl w:val="3"/>
    </w:pPr>
    <w:rPr>
      <w:rFonts w:ascii="Helvetica" w:hAnsi="Helvetica" w:cs="Arial"/>
      <w:b/>
      <w:bCs/>
      <w:color w:val="FF0000"/>
      <w:u w:val="single"/>
    </w:rPr>
  </w:style>
  <w:style w:type="paragraph" w:styleId="Titolo5">
    <w:name w:val="heading 5"/>
    <w:basedOn w:val="Normale"/>
    <w:next w:val="Normale"/>
    <w:link w:val="Titolo5Carattere"/>
    <w:qFormat/>
    <w:rsid w:val="002440D1"/>
    <w:pPr>
      <w:keepNext/>
      <w:outlineLvl w:val="4"/>
    </w:pPr>
    <w:rPr>
      <w:color w:val="FF0000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2440D1"/>
    <w:pPr>
      <w:keepNext/>
      <w:outlineLvl w:val="5"/>
    </w:pPr>
    <w:rPr>
      <w:rFonts w:ascii="Arial Narrow" w:hAnsi="Arial Narrow" w:cs="Arial Narrow"/>
      <w:b/>
      <w:bCs/>
      <w:color w:val="FF6600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2440D1"/>
    <w:pPr>
      <w:keepNext/>
      <w:outlineLvl w:val="6"/>
    </w:pPr>
    <w:rPr>
      <w:rFonts w:ascii="Arial Narrow" w:hAnsi="Arial Narrow" w:cs="Arial Narrow"/>
      <w:b/>
      <w:color w:val="FF0000"/>
      <w:sz w:val="20"/>
    </w:rPr>
  </w:style>
  <w:style w:type="paragraph" w:styleId="Titolo8">
    <w:name w:val="heading 8"/>
    <w:basedOn w:val="Normale"/>
    <w:next w:val="Normale"/>
    <w:link w:val="Titolo8Carattere"/>
    <w:qFormat/>
    <w:rsid w:val="002440D1"/>
    <w:pPr>
      <w:keepNext/>
      <w:outlineLvl w:val="7"/>
    </w:pPr>
    <w:rPr>
      <w:rFonts w:ascii="Arial Narrow" w:hAnsi="Arial Narrow" w:cs="Arial Narrow"/>
      <w:b/>
      <w:bCs/>
      <w:color w:val="FF0000"/>
      <w:sz w:val="20"/>
      <w:u w:val="single"/>
      <w:lang w:val="en-GB"/>
    </w:rPr>
  </w:style>
  <w:style w:type="paragraph" w:styleId="Titolo9">
    <w:name w:val="heading 9"/>
    <w:basedOn w:val="Normale"/>
    <w:next w:val="Normale"/>
    <w:link w:val="Titolo9Carattere"/>
    <w:qFormat/>
    <w:rsid w:val="002440D1"/>
    <w:pPr>
      <w:keepNext/>
      <w:outlineLvl w:val="8"/>
    </w:pPr>
    <w:rPr>
      <w:rFonts w:ascii="Arial Narrow" w:hAnsi="Arial Narrow" w:cs="Arial Narrow"/>
      <w:bCs/>
      <w:i/>
      <w:iCs/>
      <w:sz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440D1"/>
    <w:rPr>
      <w:b/>
      <w:bCs/>
      <w:sz w:val="24"/>
      <w:szCs w:val="24"/>
      <w:u w:val="single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2440D1"/>
    <w:rPr>
      <w:b/>
      <w:bCs/>
      <w:sz w:val="24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2440D1"/>
    <w:rPr>
      <w:b/>
      <w:bCs/>
      <w:szCs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2440D1"/>
    <w:rPr>
      <w:rFonts w:ascii="Helvetica" w:hAnsi="Helvetica" w:cs="Arial"/>
      <w:b/>
      <w:bCs/>
      <w:color w:val="FF0000"/>
      <w:sz w:val="24"/>
      <w:szCs w:val="24"/>
      <w:u w:val="single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2440D1"/>
    <w:rPr>
      <w:color w:val="FF0000"/>
      <w:sz w:val="24"/>
      <w:szCs w:val="24"/>
      <w:u w:val="single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440D1"/>
    <w:rPr>
      <w:rFonts w:ascii="Arial Narrow" w:hAnsi="Arial Narrow" w:cs="Arial Narrow"/>
      <w:b/>
      <w:bCs/>
      <w:color w:val="FF6600"/>
      <w:sz w:val="24"/>
      <w:szCs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440D1"/>
    <w:rPr>
      <w:rFonts w:ascii="Arial Narrow" w:hAnsi="Arial Narrow" w:cs="Arial Narrow"/>
      <w:b/>
      <w:color w:val="FF0000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440D1"/>
    <w:rPr>
      <w:rFonts w:ascii="Arial Narrow" w:hAnsi="Arial Narrow" w:cs="Arial Narrow"/>
      <w:b/>
      <w:bCs/>
      <w:color w:val="FF0000"/>
      <w:szCs w:val="24"/>
      <w:u w:val="single"/>
      <w:lang w:val="en-GB" w:eastAsia="ar-SA"/>
    </w:rPr>
  </w:style>
  <w:style w:type="character" w:customStyle="1" w:styleId="Titolo9Carattere">
    <w:name w:val="Titolo 9 Carattere"/>
    <w:basedOn w:val="Carpredefinitoparagrafo"/>
    <w:link w:val="Titolo9"/>
    <w:rsid w:val="002440D1"/>
    <w:rPr>
      <w:rFonts w:ascii="Arial Narrow" w:hAnsi="Arial Narrow" w:cs="Arial Narrow"/>
      <w:bCs/>
      <w:i/>
      <w:iCs/>
      <w:szCs w:val="24"/>
      <w:lang w:val="de-DE" w:eastAsia="ar-SA"/>
    </w:rPr>
  </w:style>
  <w:style w:type="paragraph" w:styleId="Titolo">
    <w:name w:val="Title"/>
    <w:basedOn w:val="Normale"/>
    <w:next w:val="Sottotitolo"/>
    <w:link w:val="TitoloCarattere"/>
    <w:qFormat/>
    <w:rsid w:val="002440D1"/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2440D1"/>
    <w:rPr>
      <w:b/>
      <w:bCs/>
      <w:sz w:val="36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2440D1"/>
    <w:rPr>
      <w:rFonts w:eastAsiaTheme="minorEastAsia" w:cstheme="minorBidi"/>
      <w:b/>
      <w:bCs/>
      <w:sz w:val="36"/>
    </w:rPr>
  </w:style>
  <w:style w:type="character" w:customStyle="1" w:styleId="SottotitoloCarattere">
    <w:name w:val="Sottotitolo Carattere"/>
    <w:basedOn w:val="Carpredefinitoparagrafo"/>
    <w:link w:val="Sottotitolo"/>
    <w:rsid w:val="002440D1"/>
    <w:rPr>
      <w:rFonts w:eastAsiaTheme="minorEastAsia" w:cstheme="minorBidi"/>
      <w:b/>
      <w:bCs/>
      <w:sz w:val="36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440D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440D1"/>
    <w:rPr>
      <w:sz w:val="24"/>
      <w:szCs w:val="24"/>
      <w:lang w:eastAsia="ar-SA"/>
    </w:rPr>
  </w:style>
  <w:style w:type="character" w:styleId="Enfasigrassetto">
    <w:name w:val="Strong"/>
    <w:qFormat/>
    <w:rsid w:val="002440D1"/>
    <w:rPr>
      <w:b/>
      <w:bCs/>
    </w:rPr>
  </w:style>
  <w:style w:type="paragraph" w:styleId="Paragrafoelenco">
    <w:name w:val="List Paragraph"/>
    <w:basedOn w:val="Normale"/>
    <w:qFormat/>
    <w:rsid w:val="002440D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754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Sala</dc:creator>
  <cp:keywords/>
  <dc:description/>
  <cp:lastModifiedBy>Emanuela Sala</cp:lastModifiedBy>
  <cp:revision>3</cp:revision>
  <dcterms:created xsi:type="dcterms:W3CDTF">2023-12-29T14:30:00Z</dcterms:created>
  <dcterms:modified xsi:type="dcterms:W3CDTF">2023-12-29T14:31:00Z</dcterms:modified>
</cp:coreProperties>
</file>